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="00EF0C78">
              <w:rPr>
                <w:rFonts w:ascii="Times New Roman" w:hAnsi="Times New Roman"/>
                <w:sz w:val="24"/>
                <w:szCs w:val="24"/>
              </w:rPr>
              <w:t>Корсинская</w:t>
            </w:r>
            <w:proofErr w:type="spellEnd"/>
            <w:r w:rsidR="00EF0C78">
              <w:rPr>
                <w:rFonts w:ascii="Times New Roman" w:hAnsi="Times New Roman"/>
                <w:sz w:val="24"/>
                <w:szCs w:val="24"/>
              </w:rPr>
              <w:t xml:space="preserve"> колония серой цапли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1E31D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EF0C78" w:rsidP="00EF0C7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78">
              <w:rPr>
                <w:rFonts w:ascii="Times New Roman" w:hAnsi="Times New Roman"/>
                <w:sz w:val="24"/>
                <w:szCs w:val="24"/>
              </w:rPr>
              <w:t>23 июля 1991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E5" w:rsidRPr="00B60DE5" w:rsidRDefault="00B60DE5" w:rsidP="00B60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и изучения колонии серой цапли.</w:t>
            </w:r>
            <w:r w:rsidRPr="00364372">
              <w:rPr>
                <w:rFonts w:ascii="Times New Roman" w:hAnsi="Times New Roman"/>
                <w:sz w:val="24"/>
                <w:szCs w:val="24"/>
              </w:rPr>
              <w:t xml:space="preserve"> Имеет научное и историческое значение, как объект, имеющий 100-летнюю историю изучения.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0A31EE" w:rsidP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Совета Министров Татарской 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E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F0C78">
              <w:rPr>
                <w:rFonts w:ascii="Times New Roman" w:hAnsi="Times New Roman"/>
                <w:sz w:val="24"/>
                <w:szCs w:val="24"/>
              </w:rPr>
              <w:t xml:space="preserve"> 313</w:t>
            </w:r>
          </w:p>
          <w:p w:rsidR="007E0082" w:rsidRDefault="000A31EE" w:rsidP="00EF0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F0C78">
              <w:rPr>
                <w:rFonts w:ascii="Times New Roman" w:hAnsi="Times New Roman"/>
                <w:sz w:val="24"/>
                <w:szCs w:val="24"/>
              </w:rPr>
              <w:t>23 июля 1991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EF0C78" w:rsidP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EF0C78" w:rsidP="00EF0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C78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государственными охраняемыми природными территориями республиканского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082">
              <w:rPr>
                <w:rFonts w:ascii="Times New Roman" w:hAnsi="Times New Roman"/>
                <w:sz w:val="24"/>
                <w:szCs w:val="24"/>
              </w:rPr>
              <w:t>т 29 декабря  2005 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>А</w:t>
            </w:r>
            <w:r w:rsidR="00EF0C78">
              <w:rPr>
                <w:rFonts w:ascii="Times New Roman" w:hAnsi="Times New Roman"/>
                <w:sz w:val="24"/>
                <w:szCs w:val="24"/>
              </w:rPr>
              <w:t>рский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A08CD">
              <w:rPr>
                <w:rFonts w:ascii="Times New Roman" w:hAnsi="Times New Roman"/>
                <w:sz w:val="24"/>
                <w:szCs w:val="24"/>
              </w:rPr>
              <w:t>.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EF0C78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8">
              <w:rPr>
                <w:rFonts w:ascii="Times New Roman" w:hAnsi="Times New Roman"/>
                <w:sz w:val="24"/>
                <w:szCs w:val="24"/>
              </w:rPr>
              <w:t>С. Сред.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C78"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 w:rsidRPr="00EF0C78">
              <w:rPr>
                <w:rFonts w:ascii="Times New Roman" w:hAnsi="Times New Roman"/>
                <w:sz w:val="24"/>
                <w:szCs w:val="24"/>
              </w:rPr>
              <w:t>, кладбище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EF0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364372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72">
              <w:rPr>
                <w:rFonts w:ascii="Times New Roman" w:hAnsi="Times New Roman"/>
                <w:sz w:val="24"/>
                <w:szCs w:val="24"/>
              </w:rPr>
              <w:t>Пашни, сенокосы, дороги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364372" w:rsidRDefault="00364372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372">
              <w:rPr>
                <w:rFonts w:ascii="Times New Roman" w:hAnsi="Times New Roman"/>
                <w:sz w:val="24"/>
                <w:szCs w:val="24"/>
              </w:rPr>
              <w:t xml:space="preserve">Растительность: береза </w:t>
            </w:r>
            <w:proofErr w:type="spellStart"/>
            <w:r w:rsidRPr="00364372">
              <w:rPr>
                <w:rFonts w:ascii="Times New Roman" w:hAnsi="Times New Roman"/>
                <w:sz w:val="24"/>
                <w:szCs w:val="24"/>
              </w:rPr>
              <w:t>повислая</w:t>
            </w:r>
            <w:proofErr w:type="spellEnd"/>
            <w:r w:rsidRPr="00364372">
              <w:rPr>
                <w:rFonts w:ascii="Times New Roman" w:hAnsi="Times New Roman"/>
                <w:sz w:val="24"/>
                <w:szCs w:val="24"/>
              </w:rPr>
              <w:t>, сосна, ель, липа, вяз, клен; подрост: клен, береза, липа, ель.</w:t>
            </w:r>
            <w:proofErr w:type="gramEnd"/>
            <w:r w:rsidRPr="00364372">
              <w:rPr>
                <w:rFonts w:ascii="Times New Roman" w:hAnsi="Times New Roman"/>
                <w:sz w:val="24"/>
                <w:szCs w:val="24"/>
              </w:rPr>
              <w:t xml:space="preserve"> Подлесок состоит из рябины, крушины ломкой, бузины, малины. Травостой представлен доминирующими видами: иван-чай, крапива двудомная и жгучая, хвощ полевой.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Pr="00364372" w:rsidRDefault="00364372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72">
              <w:rPr>
                <w:rFonts w:ascii="Times New Roman" w:hAnsi="Times New Roman"/>
                <w:sz w:val="24"/>
                <w:szCs w:val="24"/>
              </w:rPr>
              <w:t xml:space="preserve">Представляет собой растущую колонию серой цапли, </w:t>
            </w:r>
            <w:r>
              <w:rPr>
                <w:rFonts w:ascii="Times New Roman" w:hAnsi="Times New Roman"/>
                <w:sz w:val="24"/>
                <w:szCs w:val="24"/>
              </w:rPr>
              <w:t>в сообществе с колонией грачей</w:t>
            </w:r>
            <w:r w:rsidRPr="00364372">
              <w:rPr>
                <w:rFonts w:ascii="Times New Roman" w:hAnsi="Times New Roman"/>
                <w:sz w:val="24"/>
                <w:szCs w:val="24"/>
              </w:rPr>
              <w:t xml:space="preserve">. Кроме грачей много певчих птиц. </w:t>
            </w:r>
            <w:proofErr w:type="gramStart"/>
            <w:r w:rsidRPr="00364372">
              <w:rPr>
                <w:rFonts w:ascii="Times New Roman" w:hAnsi="Times New Roman"/>
                <w:sz w:val="24"/>
                <w:szCs w:val="24"/>
              </w:rPr>
              <w:t>Отмечены</w:t>
            </w:r>
            <w:proofErr w:type="gramEnd"/>
            <w:r w:rsidRPr="00364372">
              <w:rPr>
                <w:rFonts w:ascii="Times New Roman" w:hAnsi="Times New Roman"/>
                <w:sz w:val="24"/>
                <w:szCs w:val="24"/>
              </w:rPr>
              <w:t xml:space="preserve"> пустельга и ушастая сова, занесенные в Красную книгу РТ.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EF0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45721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364372" w:rsidP="00364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ГПКЗ «</w:t>
            </w:r>
            <w:proofErr w:type="spellStart"/>
            <w:r>
              <w:rPr>
                <w:rFonts w:ascii="Times New Roman" w:hAnsi="Times New Roman"/>
                <w:sz w:val="24"/>
              </w:rPr>
              <w:t>Ашит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364372">
              <w:rPr>
                <w:rFonts w:ascii="Times New Roman" w:hAnsi="Times New Roman"/>
                <w:sz w:val="24"/>
              </w:rPr>
              <w:t xml:space="preserve"> Государственного комитета Республики Татарстан по биологическим ресурсам</w:t>
            </w:r>
            <w:r w:rsidR="007E0082">
              <w:rPr>
                <w:rFonts w:ascii="Times New Roman" w:hAnsi="Times New Roman"/>
                <w:sz w:val="24"/>
              </w:rPr>
              <w:t xml:space="preserve">, директор заказника </w:t>
            </w:r>
            <w:r w:rsidR="001E7869">
              <w:rPr>
                <w:rFonts w:ascii="Times New Roman" w:hAnsi="Times New Roman"/>
                <w:sz w:val="24"/>
              </w:rPr>
              <w:t>–</w:t>
            </w:r>
            <w:r w:rsidR="007E00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Рахимович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биотехнических и противоэпизоотических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E31D6"/>
    <w:rsid w:val="001E7869"/>
    <w:rsid w:val="00364372"/>
    <w:rsid w:val="0045721D"/>
    <w:rsid w:val="007E0082"/>
    <w:rsid w:val="008317C5"/>
    <w:rsid w:val="0088368D"/>
    <w:rsid w:val="009A08CD"/>
    <w:rsid w:val="00A12290"/>
    <w:rsid w:val="00B034BE"/>
    <w:rsid w:val="00B60DE5"/>
    <w:rsid w:val="00D106CC"/>
    <w:rsid w:val="00EF0C78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B9F0-023D-48E2-B3AB-A3F706C0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11</cp:revision>
  <dcterms:created xsi:type="dcterms:W3CDTF">2018-11-10T07:50:00Z</dcterms:created>
  <dcterms:modified xsi:type="dcterms:W3CDTF">2018-11-14T13:02:00Z</dcterms:modified>
</cp:coreProperties>
</file>